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D83D" w14:textId="4DA337C8" w:rsidR="0080433D" w:rsidRDefault="00CD3802" w:rsidP="003F1BF2">
      <w:pPr>
        <w:jc w:val="center"/>
      </w:pPr>
      <w:r>
        <w:rPr>
          <w:noProof/>
        </w:rPr>
        <w:drawing>
          <wp:inline distT="0" distB="0" distL="0" distR="0" wp14:anchorId="51EB5A19" wp14:editId="73793C7F">
            <wp:extent cx="609600" cy="794905"/>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440" cy="815560"/>
                    </a:xfrm>
                    <a:prstGeom prst="rect">
                      <a:avLst/>
                    </a:prstGeom>
                  </pic:spPr>
                </pic:pic>
              </a:graphicData>
            </a:graphic>
          </wp:inline>
        </w:drawing>
      </w:r>
    </w:p>
    <w:p w14:paraId="3B8A5089" w14:textId="41093526" w:rsidR="0080433D" w:rsidRPr="003F1BF2" w:rsidRDefault="0080433D" w:rsidP="0080433D">
      <w:pPr>
        <w:pStyle w:val="NoSpacing"/>
        <w:jc w:val="center"/>
        <w:rPr>
          <w:b/>
          <w:sz w:val="28"/>
          <w:szCs w:val="28"/>
        </w:rPr>
      </w:pPr>
      <w:r w:rsidRPr="003F1BF2">
        <w:rPr>
          <w:b/>
          <w:sz w:val="28"/>
          <w:szCs w:val="28"/>
        </w:rPr>
        <w:t xml:space="preserve">Gender </w:t>
      </w:r>
      <w:r w:rsidR="004F44D7" w:rsidRPr="003F1BF2">
        <w:rPr>
          <w:b/>
          <w:sz w:val="28"/>
          <w:szCs w:val="28"/>
        </w:rPr>
        <w:t xml:space="preserve">Pay Report – </w:t>
      </w:r>
      <w:r w:rsidR="00CB7203" w:rsidRPr="003F1BF2">
        <w:rPr>
          <w:b/>
          <w:sz w:val="28"/>
          <w:szCs w:val="28"/>
        </w:rPr>
        <w:t xml:space="preserve">31 </w:t>
      </w:r>
      <w:r w:rsidR="004F44D7" w:rsidRPr="003F1BF2">
        <w:rPr>
          <w:b/>
          <w:sz w:val="28"/>
          <w:szCs w:val="28"/>
        </w:rPr>
        <w:t>March 20</w:t>
      </w:r>
      <w:r w:rsidR="00283B34" w:rsidRPr="003F1BF2">
        <w:rPr>
          <w:b/>
          <w:sz w:val="28"/>
          <w:szCs w:val="28"/>
        </w:rPr>
        <w:t>2</w:t>
      </w:r>
      <w:r w:rsidR="00DA2B14" w:rsidRPr="003F1BF2">
        <w:rPr>
          <w:b/>
          <w:sz w:val="28"/>
          <w:szCs w:val="28"/>
        </w:rPr>
        <w:t>2</w:t>
      </w:r>
      <w:r w:rsidR="00CB7203" w:rsidRPr="003F1BF2">
        <w:rPr>
          <w:b/>
          <w:sz w:val="28"/>
          <w:szCs w:val="28"/>
        </w:rPr>
        <w:t xml:space="preserve"> (reported </w:t>
      </w:r>
      <w:r w:rsidR="00D04F33" w:rsidRPr="003F1BF2">
        <w:rPr>
          <w:b/>
          <w:sz w:val="28"/>
          <w:szCs w:val="28"/>
        </w:rPr>
        <w:t xml:space="preserve">March </w:t>
      </w:r>
      <w:r w:rsidR="00CB7203" w:rsidRPr="003F1BF2">
        <w:rPr>
          <w:b/>
          <w:sz w:val="28"/>
          <w:szCs w:val="28"/>
        </w:rPr>
        <w:t>202</w:t>
      </w:r>
      <w:r w:rsidR="00DA2B14" w:rsidRPr="003F1BF2">
        <w:rPr>
          <w:b/>
          <w:sz w:val="28"/>
          <w:szCs w:val="28"/>
        </w:rPr>
        <w:t>3</w:t>
      </w:r>
      <w:r w:rsidR="00CB7203" w:rsidRPr="003F1BF2">
        <w:rPr>
          <w:b/>
          <w:sz w:val="28"/>
          <w:szCs w:val="28"/>
        </w:rPr>
        <w:t>)</w:t>
      </w:r>
    </w:p>
    <w:p w14:paraId="7722618A" w14:textId="77777777" w:rsidR="00522DE4" w:rsidRDefault="00522DE4" w:rsidP="0080433D">
      <w:pPr>
        <w:pStyle w:val="NoSpacing"/>
      </w:pPr>
    </w:p>
    <w:p w14:paraId="7D04E437" w14:textId="77777777" w:rsidR="00A217C7" w:rsidRPr="00757FCF" w:rsidRDefault="00522DE4" w:rsidP="0080433D">
      <w:pPr>
        <w:pStyle w:val="NoSpacing"/>
        <w:rPr>
          <w:rFonts w:cstheme="minorHAnsi"/>
        </w:rPr>
      </w:pPr>
      <w:r w:rsidRPr="00757FCF">
        <w:rPr>
          <w:rFonts w:cstheme="minorHAnsi"/>
        </w:rPr>
        <w:t>Hamwic Education Trust is an employer with over 250 employees and is required by law to carry out Gender Pay Reporting under the Equality Act 2010 (Gender Pay Gap Information) Regulations 2017.</w:t>
      </w:r>
    </w:p>
    <w:p w14:paraId="3FB40033" w14:textId="77777777" w:rsidR="00522DE4" w:rsidRPr="00757FCF" w:rsidRDefault="00522DE4" w:rsidP="0080433D">
      <w:pPr>
        <w:pStyle w:val="NoSpacing"/>
        <w:rPr>
          <w:rFonts w:cstheme="minorHAnsi"/>
        </w:rPr>
      </w:pPr>
    </w:p>
    <w:p w14:paraId="777885DB" w14:textId="1A669607" w:rsidR="00522DE4" w:rsidRPr="00757FCF" w:rsidRDefault="00522DE4" w:rsidP="0080433D">
      <w:pPr>
        <w:pStyle w:val="NoSpacing"/>
        <w:rPr>
          <w:rFonts w:cstheme="minorHAnsi"/>
        </w:rPr>
      </w:pPr>
      <w:r w:rsidRPr="00757FCF">
        <w:rPr>
          <w:rFonts w:cstheme="minorHAnsi"/>
        </w:rPr>
        <w:t>The informa</w:t>
      </w:r>
      <w:r w:rsidR="004F44D7" w:rsidRPr="00757FCF">
        <w:rPr>
          <w:rFonts w:cstheme="minorHAnsi"/>
        </w:rPr>
        <w:t>tion</w:t>
      </w:r>
      <w:r w:rsidR="00CB7203" w:rsidRPr="00757FCF">
        <w:rPr>
          <w:rFonts w:cstheme="minorHAnsi"/>
        </w:rPr>
        <w:t xml:space="preserve"> reported upon in </w:t>
      </w:r>
      <w:r w:rsidR="00D04F33">
        <w:rPr>
          <w:rFonts w:cstheme="minorHAnsi"/>
        </w:rPr>
        <w:t>March</w:t>
      </w:r>
      <w:r w:rsidR="00D04F33" w:rsidRPr="00757FCF">
        <w:rPr>
          <w:rFonts w:cstheme="minorHAnsi"/>
        </w:rPr>
        <w:t xml:space="preserve"> </w:t>
      </w:r>
      <w:r w:rsidR="00CB7203" w:rsidRPr="00757FCF">
        <w:rPr>
          <w:rFonts w:cstheme="minorHAnsi"/>
        </w:rPr>
        <w:t>202</w:t>
      </w:r>
      <w:r w:rsidR="00DA2B14">
        <w:rPr>
          <w:rFonts w:cstheme="minorHAnsi"/>
        </w:rPr>
        <w:t>3</w:t>
      </w:r>
      <w:r w:rsidRPr="00757FCF">
        <w:rPr>
          <w:rFonts w:cstheme="minorHAnsi"/>
        </w:rPr>
        <w:t>, is based on the snapshot date of 31 March 20</w:t>
      </w:r>
      <w:r w:rsidR="00283B34" w:rsidRPr="00757FCF">
        <w:rPr>
          <w:rFonts w:cstheme="minorHAnsi"/>
        </w:rPr>
        <w:t>2</w:t>
      </w:r>
      <w:r w:rsidR="00DA2B14">
        <w:rPr>
          <w:rFonts w:cstheme="minorHAnsi"/>
        </w:rPr>
        <w:t>2</w:t>
      </w:r>
      <w:r w:rsidRPr="00757FCF">
        <w:rPr>
          <w:rFonts w:cstheme="minorHAnsi"/>
        </w:rPr>
        <w:t>.</w:t>
      </w:r>
    </w:p>
    <w:p w14:paraId="65B420E3" w14:textId="77777777" w:rsidR="00522DE4" w:rsidRPr="00757FCF" w:rsidRDefault="00522DE4" w:rsidP="0080433D">
      <w:pPr>
        <w:pStyle w:val="NoSpacing"/>
        <w:rPr>
          <w:rFonts w:cstheme="minorHAnsi"/>
        </w:rPr>
      </w:pPr>
    </w:p>
    <w:p w14:paraId="4A5E87E5" w14:textId="2179F8B8" w:rsidR="00526339" w:rsidRDefault="00526339" w:rsidP="0080433D">
      <w:pPr>
        <w:pStyle w:val="NoSpacing"/>
        <w:rPr>
          <w:rFonts w:cstheme="minorHAnsi"/>
        </w:rPr>
      </w:pPr>
      <w:r w:rsidRPr="00757FCF">
        <w:rPr>
          <w:rFonts w:cstheme="minorHAnsi"/>
        </w:rPr>
        <w:t>Hamwic Education Trust operates as an equal opportunities employer, and does not discriminate in any way (as defined by the Equalities Act 2010 and other relevant legislation), regarding recruitment, performance management and employee care</w:t>
      </w:r>
      <w:r w:rsidR="00A217C7" w:rsidRPr="00757FCF">
        <w:rPr>
          <w:rFonts w:cstheme="minorHAnsi"/>
        </w:rPr>
        <w:t xml:space="preserve">er development opportunities.  </w:t>
      </w:r>
      <w:r w:rsidRPr="00757FCF">
        <w:rPr>
          <w:rFonts w:cstheme="minorHAnsi"/>
        </w:rPr>
        <w:t xml:space="preserve">Gender plays no part in the assessment of salary grades at Hamwic Education Trust.  </w:t>
      </w:r>
      <w:r w:rsidR="00307554" w:rsidRPr="00757FCF">
        <w:rPr>
          <w:rFonts w:cstheme="minorHAnsi"/>
        </w:rPr>
        <w:t>Roles are evaluated in line with relevant job evaluation schemes.</w:t>
      </w:r>
    </w:p>
    <w:p w14:paraId="5CF5A3F4" w14:textId="569FA034" w:rsidR="003F1BF2" w:rsidRDefault="003F1BF2" w:rsidP="0080433D">
      <w:pPr>
        <w:pStyle w:val="NoSpacing"/>
        <w:rPr>
          <w:rFonts w:cstheme="minorHAnsi"/>
        </w:rPr>
      </w:pPr>
    </w:p>
    <w:tbl>
      <w:tblPr>
        <w:tblStyle w:val="TableGrid"/>
        <w:tblW w:w="0" w:type="auto"/>
        <w:tblLook w:val="04A0" w:firstRow="1" w:lastRow="0" w:firstColumn="1" w:lastColumn="0" w:noHBand="0" w:noVBand="1"/>
      </w:tblPr>
      <w:tblGrid>
        <w:gridCol w:w="3256"/>
        <w:gridCol w:w="6372"/>
      </w:tblGrid>
      <w:tr w:rsidR="003F1BF2" w14:paraId="411DCD77" w14:textId="77777777" w:rsidTr="003F1BF2">
        <w:tc>
          <w:tcPr>
            <w:tcW w:w="3256" w:type="dxa"/>
          </w:tcPr>
          <w:p w14:paraId="5906161B" w14:textId="77777777" w:rsidR="003F1BF2" w:rsidRPr="00757FCF" w:rsidRDefault="003F1BF2" w:rsidP="003F1BF2">
            <w:pPr>
              <w:pStyle w:val="NoSpacing"/>
              <w:rPr>
                <w:rFonts w:cstheme="minorHAnsi"/>
                <w:b/>
              </w:rPr>
            </w:pPr>
            <w:r w:rsidRPr="00757FCF">
              <w:rPr>
                <w:rFonts w:cstheme="minorHAnsi"/>
                <w:b/>
              </w:rPr>
              <w:t>Mean Gender Pay Gap</w:t>
            </w:r>
          </w:p>
          <w:p w14:paraId="580EFEE7" w14:textId="105DAF02" w:rsidR="003F1BF2" w:rsidRDefault="003F1BF2" w:rsidP="003F1BF2">
            <w:pPr>
              <w:pStyle w:val="NoSpacing"/>
              <w:rPr>
                <w:rFonts w:cstheme="minorHAnsi"/>
              </w:rPr>
            </w:pPr>
            <w:r w:rsidRPr="00757FCF">
              <w:rPr>
                <w:rFonts w:cstheme="minorHAnsi"/>
              </w:rPr>
              <w:t>(Difference in male to female mean pay)</w:t>
            </w:r>
          </w:p>
        </w:tc>
        <w:tc>
          <w:tcPr>
            <w:tcW w:w="6372" w:type="dxa"/>
          </w:tcPr>
          <w:p w14:paraId="5255D01D" w14:textId="4C6EDC07" w:rsidR="003F1BF2" w:rsidRDefault="003F1BF2" w:rsidP="0080433D">
            <w:pPr>
              <w:pStyle w:val="NoSpacing"/>
              <w:rPr>
                <w:rFonts w:cstheme="minorHAnsi"/>
              </w:rPr>
            </w:pPr>
            <w:r w:rsidRPr="00757FCF">
              <w:rPr>
                <w:rFonts w:cstheme="minorHAnsi"/>
              </w:rPr>
              <w:t xml:space="preserve">Men are paid on average </w:t>
            </w:r>
            <w:r>
              <w:rPr>
                <w:rFonts w:cstheme="minorHAnsi"/>
              </w:rPr>
              <w:t>24.1</w:t>
            </w:r>
            <w:r w:rsidRPr="00757FCF">
              <w:rPr>
                <w:rFonts w:cstheme="minorHAnsi"/>
              </w:rPr>
              <w:t>% more than women on a mean basis</w:t>
            </w:r>
          </w:p>
        </w:tc>
      </w:tr>
      <w:tr w:rsidR="003F1BF2" w14:paraId="49E5F0A6" w14:textId="77777777" w:rsidTr="003F1BF2">
        <w:tc>
          <w:tcPr>
            <w:tcW w:w="3256" w:type="dxa"/>
          </w:tcPr>
          <w:p w14:paraId="1E3D8A77" w14:textId="77777777" w:rsidR="003F1BF2" w:rsidRPr="00757FCF" w:rsidRDefault="003F1BF2" w:rsidP="003F1BF2">
            <w:pPr>
              <w:pStyle w:val="NoSpacing"/>
              <w:rPr>
                <w:rFonts w:cstheme="minorHAnsi"/>
                <w:b/>
              </w:rPr>
            </w:pPr>
            <w:r w:rsidRPr="00757FCF">
              <w:rPr>
                <w:rFonts w:cstheme="minorHAnsi"/>
                <w:b/>
              </w:rPr>
              <w:t>Median Gender Pay Gap</w:t>
            </w:r>
          </w:p>
          <w:p w14:paraId="4F22BFB9" w14:textId="40D41C39" w:rsidR="003F1BF2" w:rsidRPr="003F1BF2" w:rsidRDefault="003F1BF2" w:rsidP="003F1BF2">
            <w:pPr>
              <w:pStyle w:val="NoSpacing"/>
              <w:rPr>
                <w:rFonts w:cstheme="minorHAnsi"/>
              </w:rPr>
            </w:pPr>
            <w:r w:rsidRPr="00757FCF">
              <w:rPr>
                <w:rFonts w:cstheme="minorHAnsi"/>
              </w:rPr>
              <w:t>(Difference in male to female median pay)</w:t>
            </w:r>
          </w:p>
        </w:tc>
        <w:tc>
          <w:tcPr>
            <w:tcW w:w="6372" w:type="dxa"/>
          </w:tcPr>
          <w:p w14:paraId="0321FCA5" w14:textId="22010088" w:rsidR="003F1BF2" w:rsidRPr="00757FCF" w:rsidRDefault="003F1BF2" w:rsidP="0080433D">
            <w:pPr>
              <w:pStyle w:val="NoSpacing"/>
              <w:rPr>
                <w:rFonts w:cstheme="minorHAnsi"/>
              </w:rPr>
            </w:pPr>
            <w:r w:rsidRPr="00757FCF">
              <w:rPr>
                <w:rFonts w:cstheme="minorHAnsi"/>
              </w:rPr>
              <w:t xml:space="preserve">Men are paid on average </w:t>
            </w:r>
            <w:r>
              <w:rPr>
                <w:rFonts w:cstheme="minorHAnsi"/>
              </w:rPr>
              <w:t>30.5</w:t>
            </w:r>
            <w:r w:rsidRPr="00757FCF">
              <w:rPr>
                <w:rFonts w:cstheme="minorHAnsi"/>
              </w:rPr>
              <w:t>% more than women on a median basis</w:t>
            </w:r>
          </w:p>
        </w:tc>
      </w:tr>
    </w:tbl>
    <w:p w14:paraId="79D3A28D" w14:textId="77777777" w:rsidR="00A217C7" w:rsidRPr="00757FCF" w:rsidRDefault="00A217C7" w:rsidP="0080433D">
      <w:pPr>
        <w:pStyle w:val="NoSpacing"/>
        <w:rPr>
          <w:rFonts w:cstheme="minorHAnsi"/>
        </w:rPr>
      </w:pPr>
    </w:p>
    <w:p w14:paraId="4710046B" w14:textId="74026198" w:rsidR="009039D5" w:rsidRDefault="00E02898" w:rsidP="0080433D">
      <w:pPr>
        <w:pStyle w:val="NoSpacing"/>
        <w:rPr>
          <w:rFonts w:cstheme="minorHAnsi"/>
        </w:rPr>
      </w:pPr>
      <w:r w:rsidRPr="00757FCF">
        <w:rPr>
          <w:rFonts w:cstheme="minorHAnsi"/>
        </w:rPr>
        <w:t xml:space="preserve">Women earn </w:t>
      </w:r>
      <w:r w:rsidR="00DA2B14">
        <w:rPr>
          <w:rFonts w:cstheme="minorHAnsi"/>
        </w:rPr>
        <w:t>70</w:t>
      </w:r>
      <w:r w:rsidRPr="00757FCF">
        <w:rPr>
          <w:rFonts w:cstheme="minorHAnsi"/>
        </w:rPr>
        <w:t xml:space="preserve">p for every £1 that men earn when comparing median hourly </w:t>
      </w:r>
      <w:r w:rsidR="00190CF4">
        <w:rPr>
          <w:rFonts w:cstheme="minorHAnsi"/>
        </w:rPr>
        <w:t>pay</w:t>
      </w:r>
      <w:r w:rsidRPr="00757FCF">
        <w:rPr>
          <w:rFonts w:cstheme="minorHAnsi"/>
        </w:rPr>
        <w:t xml:space="preserve">.  </w:t>
      </w:r>
      <w:r w:rsidR="00190CF4">
        <w:rPr>
          <w:rFonts w:cstheme="minorHAnsi"/>
        </w:rPr>
        <w:t xml:space="preserve">  Their median hourly pay is </w:t>
      </w:r>
      <w:r w:rsidR="00DA2B14">
        <w:rPr>
          <w:rFonts w:cstheme="minorHAnsi"/>
        </w:rPr>
        <w:t>30.5</w:t>
      </w:r>
      <w:r w:rsidR="00190CF4">
        <w:rPr>
          <w:rFonts w:cstheme="minorHAnsi"/>
        </w:rPr>
        <w:t xml:space="preserve">% lower than men’s.  When comparing mean (average) hourly pay, women’s mean hourly pay is </w:t>
      </w:r>
      <w:r w:rsidR="00DA2B14">
        <w:rPr>
          <w:rFonts w:cstheme="minorHAnsi"/>
        </w:rPr>
        <w:t>24.1</w:t>
      </w:r>
      <w:r w:rsidR="00190CF4">
        <w:rPr>
          <w:rFonts w:cstheme="minorHAnsi"/>
        </w:rPr>
        <w:t>% lower than men’s.</w:t>
      </w:r>
    </w:p>
    <w:p w14:paraId="1A6708D8" w14:textId="7DCB0D6C" w:rsidR="003F1BF2" w:rsidRDefault="003F1BF2" w:rsidP="0080433D">
      <w:pPr>
        <w:pStyle w:val="NoSpacing"/>
        <w:rPr>
          <w:rFonts w:cstheme="minorHAnsi"/>
        </w:rPr>
      </w:pPr>
    </w:p>
    <w:tbl>
      <w:tblPr>
        <w:tblStyle w:val="TableGrid"/>
        <w:tblW w:w="0" w:type="auto"/>
        <w:tblLook w:val="04A0" w:firstRow="1" w:lastRow="0" w:firstColumn="1" w:lastColumn="0" w:noHBand="0" w:noVBand="1"/>
      </w:tblPr>
      <w:tblGrid>
        <w:gridCol w:w="3209"/>
        <w:gridCol w:w="3209"/>
        <w:gridCol w:w="3210"/>
      </w:tblGrid>
      <w:tr w:rsidR="003F1BF2" w14:paraId="204C9596" w14:textId="77777777" w:rsidTr="003F1BF2">
        <w:tc>
          <w:tcPr>
            <w:tcW w:w="3209" w:type="dxa"/>
          </w:tcPr>
          <w:p w14:paraId="67D7C697" w14:textId="29FA35CD" w:rsidR="003F1BF2" w:rsidRPr="003F1BF2" w:rsidRDefault="003F1BF2" w:rsidP="003F1BF2">
            <w:pPr>
              <w:pStyle w:val="NoSpacing"/>
              <w:rPr>
                <w:rFonts w:cstheme="minorHAnsi"/>
                <w:b/>
              </w:rPr>
            </w:pPr>
            <w:r w:rsidRPr="00757FCF">
              <w:rPr>
                <w:rFonts w:cstheme="minorHAnsi"/>
                <w:b/>
              </w:rPr>
              <w:t>Employees by pay quartile</w:t>
            </w:r>
          </w:p>
        </w:tc>
        <w:tc>
          <w:tcPr>
            <w:tcW w:w="3209" w:type="dxa"/>
          </w:tcPr>
          <w:p w14:paraId="5BEA8790" w14:textId="6E8CF473" w:rsidR="003F1BF2" w:rsidRDefault="003F1BF2" w:rsidP="003F1BF2">
            <w:pPr>
              <w:pStyle w:val="NoSpacing"/>
              <w:rPr>
                <w:rFonts w:cstheme="minorHAnsi"/>
              </w:rPr>
            </w:pPr>
            <w:r w:rsidRPr="00757FCF">
              <w:rPr>
                <w:rFonts w:cstheme="minorHAnsi"/>
                <w:b/>
              </w:rPr>
              <w:t>Male %</w:t>
            </w:r>
          </w:p>
        </w:tc>
        <w:tc>
          <w:tcPr>
            <w:tcW w:w="3210" w:type="dxa"/>
          </w:tcPr>
          <w:p w14:paraId="4F5F910E" w14:textId="0743465B" w:rsidR="003F1BF2" w:rsidRDefault="003F1BF2" w:rsidP="003F1BF2">
            <w:pPr>
              <w:pStyle w:val="NoSpacing"/>
              <w:rPr>
                <w:rFonts w:cstheme="minorHAnsi"/>
              </w:rPr>
            </w:pPr>
            <w:r w:rsidRPr="00757FCF">
              <w:rPr>
                <w:rFonts w:cstheme="minorHAnsi"/>
                <w:b/>
              </w:rPr>
              <w:t>Female %</w:t>
            </w:r>
          </w:p>
        </w:tc>
      </w:tr>
      <w:tr w:rsidR="003F1BF2" w14:paraId="60D429C4" w14:textId="77777777" w:rsidTr="003F1BF2">
        <w:tc>
          <w:tcPr>
            <w:tcW w:w="3209" w:type="dxa"/>
          </w:tcPr>
          <w:p w14:paraId="7339A275" w14:textId="4E201620" w:rsidR="003F1BF2" w:rsidRPr="003F1BF2" w:rsidRDefault="003F1BF2" w:rsidP="003F1BF2">
            <w:pPr>
              <w:pStyle w:val="NoSpacing"/>
              <w:rPr>
                <w:rFonts w:cstheme="minorHAnsi"/>
              </w:rPr>
            </w:pPr>
            <w:r w:rsidRPr="00757FCF">
              <w:rPr>
                <w:rFonts w:cstheme="minorHAnsi"/>
              </w:rPr>
              <w:t>First (lower) quartile</w:t>
            </w:r>
          </w:p>
        </w:tc>
        <w:tc>
          <w:tcPr>
            <w:tcW w:w="3209" w:type="dxa"/>
          </w:tcPr>
          <w:p w14:paraId="051A6841" w14:textId="287CEF6D" w:rsidR="003F1BF2" w:rsidRPr="00757FCF" w:rsidRDefault="003F1BF2" w:rsidP="003F1BF2">
            <w:pPr>
              <w:pStyle w:val="NoSpacing"/>
              <w:rPr>
                <w:rFonts w:cstheme="minorHAnsi"/>
                <w:b/>
              </w:rPr>
            </w:pPr>
            <w:r w:rsidRPr="00757FCF">
              <w:rPr>
                <w:rFonts w:cstheme="minorHAnsi"/>
              </w:rPr>
              <w:t>5.</w:t>
            </w:r>
            <w:r>
              <w:rPr>
                <w:rFonts w:cstheme="minorHAnsi"/>
              </w:rPr>
              <w:t>2</w:t>
            </w:r>
            <w:r w:rsidRPr="00757FCF">
              <w:rPr>
                <w:rFonts w:cstheme="minorHAnsi"/>
              </w:rPr>
              <w:t>%</w:t>
            </w:r>
          </w:p>
        </w:tc>
        <w:tc>
          <w:tcPr>
            <w:tcW w:w="3210" w:type="dxa"/>
          </w:tcPr>
          <w:p w14:paraId="611E41EE" w14:textId="5BF9EECE" w:rsidR="003F1BF2" w:rsidRPr="00757FCF" w:rsidRDefault="003F1BF2" w:rsidP="003F1BF2">
            <w:pPr>
              <w:pStyle w:val="NoSpacing"/>
              <w:rPr>
                <w:rFonts w:cstheme="minorHAnsi"/>
                <w:b/>
              </w:rPr>
            </w:pPr>
            <w:r w:rsidRPr="00757FCF">
              <w:rPr>
                <w:rFonts w:cstheme="minorHAnsi"/>
              </w:rPr>
              <w:t>94.</w:t>
            </w:r>
            <w:r>
              <w:rPr>
                <w:rFonts w:cstheme="minorHAnsi"/>
              </w:rPr>
              <w:t>8</w:t>
            </w:r>
            <w:r w:rsidRPr="00757FCF">
              <w:rPr>
                <w:rFonts w:cstheme="minorHAnsi"/>
              </w:rPr>
              <w:t>%</w:t>
            </w:r>
          </w:p>
        </w:tc>
      </w:tr>
      <w:tr w:rsidR="003F1BF2" w14:paraId="15D0B9F6" w14:textId="77777777" w:rsidTr="003F1BF2">
        <w:tc>
          <w:tcPr>
            <w:tcW w:w="3209" w:type="dxa"/>
          </w:tcPr>
          <w:p w14:paraId="4798EE66" w14:textId="6323211B" w:rsidR="003F1BF2" w:rsidRPr="00757FCF" w:rsidRDefault="003F1BF2" w:rsidP="003F1BF2">
            <w:pPr>
              <w:pStyle w:val="NoSpacing"/>
              <w:rPr>
                <w:rFonts w:cstheme="minorHAnsi"/>
              </w:rPr>
            </w:pPr>
            <w:r w:rsidRPr="00757FCF">
              <w:rPr>
                <w:rFonts w:cstheme="minorHAnsi"/>
              </w:rPr>
              <w:t>Second quartile</w:t>
            </w:r>
          </w:p>
        </w:tc>
        <w:tc>
          <w:tcPr>
            <w:tcW w:w="3209" w:type="dxa"/>
          </w:tcPr>
          <w:p w14:paraId="50FE9B71" w14:textId="63AB88EA" w:rsidR="003F1BF2" w:rsidRPr="00757FCF" w:rsidRDefault="003F1BF2" w:rsidP="003F1BF2">
            <w:pPr>
              <w:pStyle w:val="NoSpacing"/>
              <w:rPr>
                <w:rFonts w:cstheme="minorHAnsi"/>
              </w:rPr>
            </w:pPr>
            <w:r>
              <w:rPr>
                <w:rFonts w:cstheme="minorHAnsi"/>
              </w:rPr>
              <w:t>6.2</w:t>
            </w:r>
            <w:r w:rsidRPr="00757FCF">
              <w:rPr>
                <w:rFonts w:cstheme="minorHAnsi"/>
              </w:rPr>
              <w:t>%</w:t>
            </w:r>
          </w:p>
        </w:tc>
        <w:tc>
          <w:tcPr>
            <w:tcW w:w="3210" w:type="dxa"/>
          </w:tcPr>
          <w:p w14:paraId="529E1677" w14:textId="46B063A1" w:rsidR="003F1BF2" w:rsidRPr="00757FCF" w:rsidRDefault="003F1BF2" w:rsidP="003F1BF2">
            <w:pPr>
              <w:pStyle w:val="NoSpacing"/>
              <w:rPr>
                <w:rFonts w:cstheme="minorHAnsi"/>
              </w:rPr>
            </w:pPr>
            <w:r w:rsidRPr="00757FCF">
              <w:rPr>
                <w:rFonts w:cstheme="minorHAnsi"/>
              </w:rPr>
              <w:t>93</w:t>
            </w:r>
            <w:r>
              <w:rPr>
                <w:rFonts w:cstheme="minorHAnsi"/>
              </w:rPr>
              <w:t>.8</w:t>
            </w:r>
            <w:r w:rsidRPr="00757FCF">
              <w:rPr>
                <w:rFonts w:cstheme="minorHAnsi"/>
              </w:rPr>
              <w:t>%</w:t>
            </w:r>
          </w:p>
        </w:tc>
      </w:tr>
      <w:tr w:rsidR="003F1BF2" w14:paraId="5145868C" w14:textId="77777777" w:rsidTr="003F1BF2">
        <w:tc>
          <w:tcPr>
            <w:tcW w:w="3209" w:type="dxa"/>
          </w:tcPr>
          <w:p w14:paraId="34A48BDD" w14:textId="1AAEDDCF" w:rsidR="003F1BF2" w:rsidRPr="00757FCF" w:rsidRDefault="003F1BF2" w:rsidP="003F1BF2">
            <w:pPr>
              <w:pStyle w:val="NoSpacing"/>
              <w:rPr>
                <w:rFonts w:cstheme="minorHAnsi"/>
              </w:rPr>
            </w:pPr>
            <w:r w:rsidRPr="00757FCF">
              <w:rPr>
                <w:rFonts w:cstheme="minorHAnsi"/>
              </w:rPr>
              <w:t>Third quartile</w:t>
            </w:r>
          </w:p>
        </w:tc>
        <w:tc>
          <w:tcPr>
            <w:tcW w:w="3209" w:type="dxa"/>
          </w:tcPr>
          <w:p w14:paraId="27965AA7" w14:textId="51A7837E" w:rsidR="003F1BF2" w:rsidRPr="00757FCF" w:rsidRDefault="003F1BF2" w:rsidP="003F1BF2">
            <w:pPr>
              <w:pStyle w:val="NoSpacing"/>
              <w:rPr>
                <w:rFonts w:cstheme="minorHAnsi"/>
              </w:rPr>
            </w:pPr>
            <w:r w:rsidRPr="00757FCF">
              <w:rPr>
                <w:rFonts w:cstheme="minorHAnsi"/>
              </w:rPr>
              <w:t>1</w:t>
            </w:r>
            <w:r>
              <w:rPr>
                <w:rFonts w:cstheme="minorHAnsi"/>
              </w:rPr>
              <w:t>8.5</w:t>
            </w:r>
            <w:r w:rsidRPr="00757FCF">
              <w:rPr>
                <w:rFonts w:cstheme="minorHAnsi"/>
              </w:rPr>
              <w:t>%</w:t>
            </w:r>
          </w:p>
        </w:tc>
        <w:tc>
          <w:tcPr>
            <w:tcW w:w="3210" w:type="dxa"/>
          </w:tcPr>
          <w:p w14:paraId="4E208971" w14:textId="226C5829" w:rsidR="003F1BF2" w:rsidRPr="00757FCF" w:rsidRDefault="003F1BF2" w:rsidP="003F1BF2">
            <w:pPr>
              <w:pStyle w:val="NoSpacing"/>
              <w:rPr>
                <w:rFonts w:cstheme="minorHAnsi"/>
              </w:rPr>
            </w:pPr>
            <w:r w:rsidRPr="00757FCF">
              <w:rPr>
                <w:rFonts w:cstheme="minorHAnsi"/>
              </w:rPr>
              <w:t>8</w:t>
            </w:r>
            <w:r>
              <w:rPr>
                <w:rFonts w:cstheme="minorHAnsi"/>
              </w:rPr>
              <w:t>1.5</w:t>
            </w:r>
            <w:r w:rsidRPr="00757FCF">
              <w:rPr>
                <w:rFonts w:cstheme="minorHAnsi"/>
              </w:rPr>
              <w:t>%</w:t>
            </w:r>
          </w:p>
        </w:tc>
      </w:tr>
      <w:tr w:rsidR="003F1BF2" w14:paraId="796D4DA4" w14:textId="77777777" w:rsidTr="003F1BF2">
        <w:tc>
          <w:tcPr>
            <w:tcW w:w="3209" w:type="dxa"/>
          </w:tcPr>
          <w:p w14:paraId="145A64E1" w14:textId="1FE5F97D" w:rsidR="003F1BF2" w:rsidRPr="00757FCF" w:rsidRDefault="003F1BF2" w:rsidP="003F1BF2">
            <w:pPr>
              <w:pStyle w:val="NoSpacing"/>
              <w:rPr>
                <w:rFonts w:cstheme="minorHAnsi"/>
              </w:rPr>
            </w:pPr>
            <w:r w:rsidRPr="00757FCF">
              <w:rPr>
                <w:rFonts w:cstheme="minorHAnsi"/>
              </w:rPr>
              <w:t>Fourth (upper quartile)</w:t>
            </w:r>
          </w:p>
        </w:tc>
        <w:tc>
          <w:tcPr>
            <w:tcW w:w="3209" w:type="dxa"/>
          </w:tcPr>
          <w:p w14:paraId="6ADCB8B1" w14:textId="4B6514B3" w:rsidR="003F1BF2" w:rsidRPr="00757FCF" w:rsidRDefault="003F1BF2" w:rsidP="003F1BF2">
            <w:pPr>
              <w:pStyle w:val="NoSpacing"/>
              <w:rPr>
                <w:rFonts w:cstheme="minorHAnsi"/>
              </w:rPr>
            </w:pPr>
            <w:r>
              <w:rPr>
                <w:rFonts w:cstheme="minorHAnsi"/>
              </w:rPr>
              <w:t>22</w:t>
            </w:r>
            <w:r w:rsidRPr="00757FCF">
              <w:rPr>
                <w:rFonts w:cstheme="minorHAnsi"/>
              </w:rPr>
              <w:t>%</w:t>
            </w:r>
          </w:p>
        </w:tc>
        <w:tc>
          <w:tcPr>
            <w:tcW w:w="3210" w:type="dxa"/>
          </w:tcPr>
          <w:p w14:paraId="30A65DE8" w14:textId="7FD7E746" w:rsidR="003F1BF2" w:rsidRPr="00757FCF" w:rsidRDefault="003F1BF2" w:rsidP="003F1BF2">
            <w:pPr>
              <w:pStyle w:val="NoSpacing"/>
              <w:rPr>
                <w:rFonts w:cstheme="minorHAnsi"/>
              </w:rPr>
            </w:pPr>
            <w:r>
              <w:rPr>
                <w:rFonts w:cstheme="minorHAnsi"/>
              </w:rPr>
              <w:t>78</w:t>
            </w:r>
            <w:r w:rsidRPr="00757FCF">
              <w:rPr>
                <w:rFonts w:cstheme="minorHAnsi"/>
              </w:rPr>
              <w:t>%</w:t>
            </w:r>
          </w:p>
        </w:tc>
      </w:tr>
    </w:tbl>
    <w:p w14:paraId="71CEE8F5" w14:textId="77777777" w:rsidR="003F1BF2" w:rsidRPr="00757FCF" w:rsidRDefault="003F1BF2" w:rsidP="0080433D">
      <w:pPr>
        <w:pStyle w:val="NoSpacing"/>
        <w:rPr>
          <w:rFonts w:cstheme="minorHAnsi"/>
        </w:rPr>
      </w:pPr>
    </w:p>
    <w:p w14:paraId="2A1090D2" w14:textId="6E9DBE01" w:rsidR="00D63DC9" w:rsidRDefault="002C0270" w:rsidP="0080433D">
      <w:pPr>
        <w:pStyle w:val="NoSpacing"/>
        <w:rPr>
          <w:noProof/>
          <w:lang w:eastAsia="en-GB"/>
        </w:rPr>
      </w:pPr>
      <w:r w:rsidRPr="00757FCF">
        <w:rPr>
          <w:noProof/>
          <w:lang w:eastAsia="en-GB"/>
        </w:rPr>
        <w:t>Women occupy 9</w:t>
      </w:r>
      <w:r w:rsidR="00377DB9" w:rsidRPr="00757FCF">
        <w:rPr>
          <w:noProof/>
          <w:lang w:eastAsia="en-GB"/>
        </w:rPr>
        <w:t>4</w:t>
      </w:r>
      <w:r w:rsidRPr="00757FCF">
        <w:rPr>
          <w:noProof/>
          <w:lang w:eastAsia="en-GB"/>
        </w:rPr>
        <w:t>.</w:t>
      </w:r>
      <w:r w:rsidR="00E73FC1">
        <w:rPr>
          <w:noProof/>
          <w:lang w:eastAsia="en-GB"/>
        </w:rPr>
        <w:t>8</w:t>
      </w:r>
      <w:r w:rsidRPr="00757FCF">
        <w:rPr>
          <w:noProof/>
          <w:lang w:eastAsia="en-GB"/>
        </w:rPr>
        <w:t>% of the lowest paid jobs</w:t>
      </w:r>
      <w:r w:rsidR="002B3423">
        <w:rPr>
          <w:noProof/>
          <w:lang w:eastAsia="en-GB"/>
        </w:rPr>
        <w:t xml:space="preserve"> and </w:t>
      </w:r>
      <w:r w:rsidR="00E73FC1">
        <w:rPr>
          <w:noProof/>
          <w:lang w:eastAsia="en-GB"/>
        </w:rPr>
        <w:t>78</w:t>
      </w:r>
      <w:r w:rsidR="002B3423" w:rsidRPr="00757FCF">
        <w:rPr>
          <w:noProof/>
          <w:lang w:eastAsia="en-GB"/>
        </w:rPr>
        <w:t>% of the highest paid jobs</w:t>
      </w:r>
      <w:r w:rsidR="002B3423">
        <w:rPr>
          <w:noProof/>
          <w:lang w:eastAsia="en-GB"/>
        </w:rPr>
        <w:t>.</w:t>
      </w:r>
    </w:p>
    <w:p w14:paraId="4221FFE5" w14:textId="2D62BED2" w:rsidR="003F1BF2" w:rsidRDefault="003F1BF2" w:rsidP="0080433D">
      <w:pPr>
        <w:pStyle w:val="NoSpacing"/>
        <w:rPr>
          <w:noProof/>
          <w:lang w:eastAsia="en-GB"/>
        </w:rPr>
      </w:pPr>
    </w:p>
    <w:tbl>
      <w:tblPr>
        <w:tblStyle w:val="TableGrid"/>
        <w:tblW w:w="0" w:type="auto"/>
        <w:tblLook w:val="04A0" w:firstRow="1" w:lastRow="0" w:firstColumn="1" w:lastColumn="0" w:noHBand="0" w:noVBand="1"/>
      </w:tblPr>
      <w:tblGrid>
        <w:gridCol w:w="3209"/>
        <w:gridCol w:w="3209"/>
        <w:gridCol w:w="3210"/>
      </w:tblGrid>
      <w:tr w:rsidR="003F1BF2" w14:paraId="3A4A1DEA" w14:textId="77777777" w:rsidTr="003F1BF2">
        <w:tc>
          <w:tcPr>
            <w:tcW w:w="3209" w:type="dxa"/>
          </w:tcPr>
          <w:p w14:paraId="46D3F1F1" w14:textId="637E5FB9" w:rsidR="003F1BF2" w:rsidRDefault="003F1BF2" w:rsidP="0080433D">
            <w:pPr>
              <w:pStyle w:val="NoSpacing"/>
              <w:rPr>
                <w:rFonts w:cstheme="minorHAnsi"/>
              </w:rPr>
            </w:pPr>
            <w:r w:rsidRPr="00757FCF">
              <w:rPr>
                <w:rFonts w:cstheme="minorHAnsi"/>
                <w:b/>
              </w:rPr>
              <w:t>Number of employees by gender</w:t>
            </w:r>
          </w:p>
        </w:tc>
        <w:tc>
          <w:tcPr>
            <w:tcW w:w="3209" w:type="dxa"/>
          </w:tcPr>
          <w:p w14:paraId="597B9FFC" w14:textId="77777777" w:rsidR="003F1BF2" w:rsidRPr="00757FCF" w:rsidRDefault="003F1BF2" w:rsidP="003F1BF2">
            <w:pPr>
              <w:pStyle w:val="NoSpacing"/>
              <w:rPr>
                <w:rFonts w:cstheme="minorHAnsi"/>
                <w:b/>
              </w:rPr>
            </w:pPr>
            <w:r w:rsidRPr="00757FCF">
              <w:rPr>
                <w:rFonts w:cstheme="minorHAnsi"/>
                <w:b/>
              </w:rPr>
              <w:t>Male</w:t>
            </w:r>
          </w:p>
          <w:p w14:paraId="4BF574F4" w14:textId="76B55C30" w:rsidR="003F1BF2" w:rsidRDefault="003F1BF2" w:rsidP="003F1BF2">
            <w:pPr>
              <w:pStyle w:val="NoSpacing"/>
              <w:rPr>
                <w:rFonts w:cstheme="minorHAnsi"/>
              </w:rPr>
            </w:pPr>
            <w:r>
              <w:rPr>
                <w:rFonts w:cstheme="minorHAnsi"/>
              </w:rPr>
              <w:t>261</w:t>
            </w:r>
          </w:p>
        </w:tc>
        <w:tc>
          <w:tcPr>
            <w:tcW w:w="3210" w:type="dxa"/>
          </w:tcPr>
          <w:p w14:paraId="736D8BA3" w14:textId="77777777" w:rsidR="003F1BF2" w:rsidRPr="00757FCF" w:rsidRDefault="003F1BF2" w:rsidP="003F1BF2">
            <w:pPr>
              <w:pStyle w:val="NoSpacing"/>
              <w:rPr>
                <w:rFonts w:cstheme="minorHAnsi"/>
                <w:b/>
              </w:rPr>
            </w:pPr>
            <w:r w:rsidRPr="00757FCF">
              <w:rPr>
                <w:rFonts w:cstheme="minorHAnsi"/>
                <w:b/>
              </w:rPr>
              <w:t>Female</w:t>
            </w:r>
          </w:p>
          <w:p w14:paraId="22949CA5" w14:textId="68DD9D6A" w:rsidR="003F1BF2" w:rsidRDefault="003F1BF2" w:rsidP="003F1BF2">
            <w:pPr>
              <w:pStyle w:val="NoSpacing"/>
              <w:rPr>
                <w:rFonts w:cstheme="minorHAnsi"/>
              </w:rPr>
            </w:pPr>
            <w:r>
              <w:rPr>
                <w:rFonts w:cstheme="minorHAnsi"/>
              </w:rPr>
              <w:t>1754</w:t>
            </w:r>
          </w:p>
        </w:tc>
      </w:tr>
    </w:tbl>
    <w:p w14:paraId="403F54D5" w14:textId="77777777" w:rsidR="003F1BF2" w:rsidRPr="00757FCF" w:rsidRDefault="003F1BF2" w:rsidP="0080433D">
      <w:pPr>
        <w:pStyle w:val="NoSpacing"/>
        <w:rPr>
          <w:rFonts w:cstheme="minorHAnsi"/>
        </w:rPr>
      </w:pPr>
    </w:p>
    <w:p w14:paraId="4110965B" w14:textId="348F1EC8" w:rsidR="004F44D7" w:rsidRDefault="00CB7203" w:rsidP="004F44D7">
      <w:pPr>
        <w:pStyle w:val="Default"/>
        <w:rPr>
          <w:rFonts w:asciiTheme="minorHAnsi" w:hAnsiTheme="minorHAnsi" w:cstheme="minorHAnsi"/>
          <w:sz w:val="22"/>
          <w:szCs w:val="22"/>
        </w:rPr>
      </w:pPr>
      <w:r w:rsidRPr="00757FCF">
        <w:rPr>
          <w:rFonts w:asciiTheme="minorHAnsi" w:hAnsiTheme="minorHAnsi" w:cstheme="minorHAnsi"/>
          <w:sz w:val="22"/>
          <w:szCs w:val="22"/>
        </w:rPr>
        <w:t>Women make up 8</w:t>
      </w:r>
      <w:r w:rsidR="00C532C2">
        <w:rPr>
          <w:rFonts w:asciiTheme="minorHAnsi" w:hAnsiTheme="minorHAnsi" w:cstheme="minorHAnsi"/>
          <w:sz w:val="22"/>
          <w:szCs w:val="22"/>
        </w:rPr>
        <w:t>5.52</w:t>
      </w:r>
      <w:r w:rsidR="004F44D7" w:rsidRPr="00757FCF">
        <w:rPr>
          <w:rFonts w:asciiTheme="minorHAnsi" w:hAnsiTheme="minorHAnsi" w:cstheme="minorHAnsi"/>
          <w:sz w:val="22"/>
          <w:szCs w:val="22"/>
        </w:rPr>
        <w:t xml:space="preserve">% of the workforce and are well represented at all levels within our Trust. </w:t>
      </w:r>
      <w:r w:rsidR="00377DB9" w:rsidRPr="00757FCF">
        <w:rPr>
          <w:rFonts w:asciiTheme="minorHAnsi" w:hAnsiTheme="minorHAnsi" w:cstheme="minorHAnsi"/>
          <w:sz w:val="22"/>
          <w:szCs w:val="22"/>
        </w:rPr>
        <w:t xml:space="preserve">  The majority of female staff falling outside of teaching are employed in support type roles – teaching assistants, midday supervisors etc., and these types of roles are predominantly contained within the third and fourth quartiles.  </w:t>
      </w:r>
      <w:r w:rsidR="008C3433" w:rsidRPr="00757FCF">
        <w:rPr>
          <w:rFonts w:asciiTheme="minorHAnsi" w:hAnsiTheme="minorHAnsi" w:cstheme="minorHAnsi"/>
          <w:sz w:val="22"/>
          <w:szCs w:val="22"/>
        </w:rPr>
        <w:t>These categories of staff are paid in accordance with the National Joint Council for Local Government Services agreement adopted by the Trust.</w:t>
      </w:r>
    </w:p>
    <w:p w14:paraId="529BDF09" w14:textId="40C8404D" w:rsidR="00253892" w:rsidRDefault="00253892" w:rsidP="004F44D7">
      <w:pPr>
        <w:pStyle w:val="Default"/>
        <w:rPr>
          <w:rFonts w:asciiTheme="minorHAnsi" w:hAnsiTheme="minorHAnsi" w:cstheme="minorHAnsi"/>
          <w:sz w:val="22"/>
          <w:szCs w:val="22"/>
        </w:rPr>
      </w:pPr>
    </w:p>
    <w:p w14:paraId="5D579041" w14:textId="323F048D" w:rsidR="00253892" w:rsidRPr="00757FCF" w:rsidRDefault="00253892" w:rsidP="004F44D7">
      <w:pPr>
        <w:pStyle w:val="Default"/>
        <w:rPr>
          <w:rFonts w:asciiTheme="minorHAnsi" w:hAnsiTheme="minorHAnsi" w:cstheme="minorHAnsi"/>
          <w:sz w:val="22"/>
          <w:szCs w:val="22"/>
        </w:rPr>
      </w:pPr>
      <w:r w:rsidRPr="00253892">
        <w:rPr>
          <w:rFonts w:ascii="Calibri" w:hAnsi="Calibri" w:cs="Calibri"/>
          <w:sz w:val="22"/>
          <w:szCs w:val="22"/>
        </w:rPr>
        <w:t>Hamwic Education Trust follows</w:t>
      </w:r>
      <w:r>
        <w:rPr>
          <w:rFonts w:asciiTheme="minorHAnsi" w:hAnsiTheme="minorHAnsi" w:cstheme="minorHAnsi"/>
          <w:sz w:val="22"/>
          <w:szCs w:val="22"/>
        </w:rPr>
        <w:t xml:space="preserve"> the STPCD and all teaching staff are paid in line with STPCD pay scales.</w:t>
      </w:r>
    </w:p>
    <w:p w14:paraId="3464EE9C" w14:textId="77777777" w:rsidR="004F44D7" w:rsidRPr="00757FCF" w:rsidRDefault="004F44D7" w:rsidP="004F44D7">
      <w:pPr>
        <w:pStyle w:val="Default"/>
        <w:rPr>
          <w:rFonts w:asciiTheme="minorHAnsi" w:hAnsiTheme="minorHAnsi" w:cstheme="minorHAnsi"/>
          <w:sz w:val="22"/>
          <w:szCs w:val="22"/>
        </w:rPr>
      </w:pPr>
    </w:p>
    <w:p w14:paraId="286DB5F5" w14:textId="4444B037" w:rsidR="008458EF" w:rsidRPr="008C3433" w:rsidRDefault="0018468F" w:rsidP="008458EF">
      <w:pPr>
        <w:pStyle w:val="NoSpacing"/>
        <w:rPr>
          <w:rFonts w:cstheme="minorHAnsi"/>
        </w:rPr>
      </w:pPr>
      <w:r>
        <w:rPr>
          <w:rFonts w:cstheme="minorHAnsi"/>
        </w:rPr>
        <w:t>Development</w:t>
      </w:r>
      <w:r w:rsidR="004F44D7" w:rsidRPr="00757FCF">
        <w:rPr>
          <w:rFonts w:cstheme="minorHAnsi"/>
        </w:rPr>
        <w:t xml:space="preserve"> opportunities </w:t>
      </w:r>
      <w:r>
        <w:rPr>
          <w:rFonts w:cstheme="minorHAnsi"/>
        </w:rPr>
        <w:t xml:space="preserve">are offered </w:t>
      </w:r>
      <w:r w:rsidR="004F44D7" w:rsidRPr="00757FCF">
        <w:rPr>
          <w:rFonts w:cstheme="minorHAnsi"/>
        </w:rPr>
        <w:t>to males and females at</w:t>
      </w:r>
      <w:r w:rsidR="00E73CB8" w:rsidRPr="00757FCF">
        <w:rPr>
          <w:rFonts w:cstheme="minorHAnsi"/>
        </w:rPr>
        <w:t xml:space="preserve"> all levels of the organisation.</w:t>
      </w:r>
    </w:p>
    <w:sectPr w:rsidR="008458EF" w:rsidRPr="008C3433" w:rsidSect="00253892">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0D98" w14:textId="77777777" w:rsidR="00F609D5" w:rsidRDefault="00F609D5" w:rsidP="00894084">
      <w:pPr>
        <w:spacing w:after="0" w:line="240" w:lineRule="auto"/>
      </w:pPr>
      <w:r>
        <w:separator/>
      </w:r>
    </w:p>
  </w:endnote>
  <w:endnote w:type="continuationSeparator" w:id="0">
    <w:p w14:paraId="793E5A5B" w14:textId="77777777" w:rsidR="00F609D5" w:rsidRDefault="00F609D5" w:rsidP="0089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5368" w14:textId="77777777" w:rsidR="00F609D5" w:rsidRDefault="00F609D5" w:rsidP="00894084">
      <w:pPr>
        <w:spacing w:after="0" w:line="240" w:lineRule="auto"/>
      </w:pPr>
      <w:r>
        <w:separator/>
      </w:r>
    </w:p>
  </w:footnote>
  <w:footnote w:type="continuationSeparator" w:id="0">
    <w:p w14:paraId="147A7E32" w14:textId="77777777" w:rsidR="00F609D5" w:rsidRDefault="00F609D5" w:rsidP="0089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1E4"/>
    <w:multiLevelType w:val="hybridMultilevel"/>
    <w:tmpl w:val="AAF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3181D"/>
    <w:multiLevelType w:val="hybridMultilevel"/>
    <w:tmpl w:val="9B32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661C1"/>
    <w:multiLevelType w:val="hybridMultilevel"/>
    <w:tmpl w:val="6C6CD30E"/>
    <w:lvl w:ilvl="0" w:tplc="F320AA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794981">
    <w:abstractNumId w:val="1"/>
  </w:num>
  <w:num w:numId="2" w16cid:durableId="706951434">
    <w:abstractNumId w:val="2"/>
  </w:num>
  <w:num w:numId="3" w16cid:durableId="209743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E6"/>
    <w:rsid w:val="0000021B"/>
    <w:rsid w:val="00002B7C"/>
    <w:rsid w:val="00003CCE"/>
    <w:rsid w:val="0000490B"/>
    <w:rsid w:val="00011B2F"/>
    <w:rsid w:val="00012073"/>
    <w:rsid w:val="00022683"/>
    <w:rsid w:val="00024866"/>
    <w:rsid w:val="0002796D"/>
    <w:rsid w:val="00053221"/>
    <w:rsid w:val="0005667C"/>
    <w:rsid w:val="00066CBB"/>
    <w:rsid w:val="00081DB7"/>
    <w:rsid w:val="0008384A"/>
    <w:rsid w:val="00085545"/>
    <w:rsid w:val="0009138D"/>
    <w:rsid w:val="000A2768"/>
    <w:rsid w:val="000A52FB"/>
    <w:rsid w:val="000A55E4"/>
    <w:rsid w:val="000B2F54"/>
    <w:rsid w:val="000C2262"/>
    <w:rsid w:val="000C3E38"/>
    <w:rsid w:val="000C7DB9"/>
    <w:rsid w:val="000D14B9"/>
    <w:rsid w:val="000D1F27"/>
    <w:rsid w:val="000D6501"/>
    <w:rsid w:val="000E2100"/>
    <w:rsid w:val="000E7C84"/>
    <w:rsid w:val="000F22D4"/>
    <w:rsid w:val="000F2E49"/>
    <w:rsid w:val="000F6106"/>
    <w:rsid w:val="00102F2E"/>
    <w:rsid w:val="0010354E"/>
    <w:rsid w:val="001042F1"/>
    <w:rsid w:val="001052F2"/>
    <w:rsid w:val="001207EC"/>
    <w:rsid w:val="00121B2D"/>
    <w:rsid w:val="00123A6F"/>
    <w:rsid w:val="00134B3F"/>
    <w:rsid w:val="001370A4"/>
    <w:rsid w:val="00150627"/>
    <w:rsid w:val="00153DCF"/>
    <w:rsid w:val="001566BD"/>
    <w:rsid w:val="001577E8"/>
    <w:rsid w:val="00160072"/>
    <w:rsid w:val="0017366A"/>
    <w:rsid w:val="0018468F"/>
    <w:rsid w:val="0018674C"/>
    <w:rsid w:val="0018730E"/>
    <w:rsid w:val="00190CF4"/>
    <w:rsid w:val="00190F40"/>
    <w:rsid w:val="00192203"/>
    <w:rsid w:val="00197633"/>
    <w:rsid w:val="001B3DE7"/>
    <w:rsid w:val="001C4590"/>
    <w:rsid w:val="001C4CBA"/>
    <w:rsid w:val="001C5FA3"/>
    <w:rsid w:val="001C7215"/>
    <w:rsid w:val="001D5DC8"/>
    <w:rsid w:val="001D79A6"/>
    <w:rsid w:val="001E79E0"/>
    <w:rsid w:val="001F1C05"/>
    <w:rsid w:val="002152E9"/>
    <w:rsid w:val="002177C5"/>
    <w:rsid w:val="00230863"/>
    <w:rsid w:val="002335C8"/>
    <w:rsid w:val="0023532D"/>
    <w:rsid w:val="002368A2"/>
    <w:rsid w:val="00237B2F"/>
    <w:rsid w:val="0024495A"/>
    <w:rsid w:val="00246324"/>
    <w:rsid w:val="00250551"/>
    <w:rsid w:val="00253892"/>
    <w:rsid w:val="002600A4"/>
    <w:rsid w:val="00260846"/>
    <w:rsid w:val="00263A93"/>
    <w:rsid w:val="00277EE9"/>
    <w:rsid w:val="00280B02"/>
    <w:rsid w:val="00283B34"/>
    <w:rsid w:val="00284BD8"/>
    <w:rsid w:val="00295EE2"/>
    <w:rsid w:val="002A07A7"/>
    <w:rsid w:val="002A61DF"/>
    <w:rsid w:val="002A7C0B"/>
    <w:rsid w:val="002B3423"/>
    <w:rsid w:val="002C0270"/>
    <w:rsid w:val="002C1437"/>
    <w:rsid w:val="002C367B"/>
    <w:rsid w:val="002C5051"/>
    <w:rsid w:val="002D4F02"/>
    <w:rsid w:val="002D73E1"/>
    <w:rsid w:val="002E229D"/>
    <w:rsid w:val="002E2FFA"/>
    <w:rsid w:val="002F2056"/>
    <w:rsid w:val="002F33A0"/>
    <w:rsid w:val="002F578B"/>
    <w:rsid w:val="00306601"/>
    <w:rsid w:val="00307554"/>
    <w:rsid w:val="003121FE"/>
    <w:rsid w:val="003254F0"/>
    <w:rsid w:val="00333120"/>
    <w:rsid w:val="003348B1"/>
    <w:rsid w:val="003354D1"/>
    <w:rsid w:val="0033754E"/>
    <w:rsid w:val="00343553"/>
    <w:rsid w:val="00355261"/>
    <w:rsid w:val="003603C1"/>
    <w:rsid w:val="00376476"/>
    <w:rsid w:val="00377DB9"/>
    <w:rsid w:val="00381D76"/>
    <w:rsid w:val="00382277"/>
    <w:rsid w:val="00385191"/>
    <w:rsid w:val="003A42C5"/>
    <w:rsid w:val="003A4BEB"/>
    <w:rsid w:val="003A726A"/>
    <w:rsid w:val="003B2AB6"/>
    <w:rsid w:val="003C466B"/>
    <w:rsid w:val="003C6D79"/>
    <w:rsid w:val="003C6F0F"/>
    <w:rsid w:val="003E042E"/>
    <w:rsid w:val="003E14B5"/>
    <w:rsid w:val="003E1908"/>
    <w:rsid w:val="003E191E"/>
    <w:rsid w:val="003F1168"/>
    <w:rsid w:val="003F1BF2"/>
    <w:rsid w:val="003F2D1F"/>
    <w:rsid w:val="003F4192"/>
    <w:rsid w:val="003F5E08"/>
    <w:rsid w:val="004044A3"/>
    <w:rsid w:val="00404A92"/>
    <w:rsid w:val="00405151"/>
    <w:rsid w:val="00411E74"/>
    <w:rsid w:val="00415C5F"/>
    <w:rsid w:val="00422E20"/>
    <w:rsid w:val="00424C3A"/>
    <w:rsid w:val="00425307"/>
    <w:rsid w:val="00435A20"/>
    <w:rsid w:val="0044244B"/>
    <w:rsid w:val="00442BC4"/>
    <w:rsid w:val="004451DA"/>
    <w:rsid w:val="004451DF"/>
    <w:rsid w:val="0044662E"/>
    <w:rsid w:val="00447F8A"/>
    <w:rsid w:val="004523C8"/>
    <w:rsid w:val="00452526"/>
    <w:rsid w:val="00460EE8"/>
    <w:rsid w:val="00464453"/>
    <w:rsid w:val="00471100"/>
    <w:rsid w:val="00474C4C"/>
    <w:rsid w:val="00476D03"/>
    <w:rsid w:val="0048284C"/>
    <w:rsid w:val="004974B4"/>
    <w:rsid w:val="004A2945"/>
    <w:rsid w:val="004A7317"/>
    <w:rsid w:val="004B0E78"/>
    <w:rsid w:val="004C399E"/>
    <w:rsid w:val="004D2B45"/>
    <w:rsid w:val="004E1347"/>
    <w:rsid w:val="004E4F7F"/>
    <w:rsid w:val="004F44D7"/>
    <w:rsid w:val="004F698A"/>
    <w:rsid w:val="0050343F"/>
    <w:rsid w:val="0050422B"/>
    <w:rsid w:val="00506E2B"/>
    <w:rsid w:val="00522DE4"/>
    <w:rsid w:val="00526339"/>
    <w:rsid w:val="00531A65"/>
    <w:rsid w:val="00533A6D"/>
    <w:rsid w:val="0053799D"/>
    <w:rsid w:val="00551A95"/>
    <w:rsid w:val="00553656"/>
    <w:rsid w:val="00565579"/>
    <w:rsid w:val="00566961"/>
    <w:rsid w:val="00567176"/>
    <w:rsid w:val="00581C8C"/>
    <w:rsid w:val="00583E4C"/>
    <w:rsid w:val="00584D01"/>
    <w:rsid w:val="0058663F"/>
    <w:rsid w:val="00593388"/>
    <w:rsid w:val="005A07AF"/>
    <w:rsid w:val="005A42F4"/>
    <w:rsid w:val="005A7B1E"/>
    <w:rsid w:val="005B1E71"/>
    <w:rsid w:val="005C105D"/>
    <w:rsid w:val="005D3A64"/>
    <w:rsid w:val="005E71C9"/>
    <w:rsid w:val="005F39B8"/>
    <w:rsid w:val="00602266"/>
    <w:rsid w:val="006034DF"/>
    <w:rsid w:val="00603EE7"/>
    <w:rsid w:val="00614D12"/>
    <w:rsid w:val="00616035"/>
    <w:rsid w:val="0062136B"/>
    <w:rsid w:val="006315B7"/>
    <w:rsid w:val="00631728"/>
    <w:rsid w:val="006365AA"/>
    <w:rsid w:val="0064024C"/>
    <w:rsid w:val="0064056C"/>
    <w:rsid w:val="006419E1"/>
    <w:rsid w:val="0064355C"/>
    <w:rsid w:val="00647F5F"/>
    <w:rsid w:val="0065483D"/>
    <w:rsid w:val="00657642"/>
    <w:rsid w:val="00687EE1"/>
    <w:rsid w:val="00695A1C"/>
    <w:rsid w:val="006A2EF7"/>
    <w:rsid w:val="006A371F"/>
    <w:rsid w:val="006B1118"/>
    <w:rsid w:val="006B7B95"/>
    <w:rsid w:val="006D0082"/>
    <w:rsid w:val="006D28BF"/>
    <w:rsid w:val="006D38FB"/>
    <w:rsid w:val="006E13BB"/>
    <w:rsid w:val="00720C0D"/>
    <w:rsid w:val="007212CF"/>
    <w:rsid w:val="007262BE"/>
    <w:rsid w:val="007343BF"/>
    <w:rsid w:val="007379FC"/>
    <w:rsid w:val="0074064C"/>
    <w:rsid w:val="00743B53"/>
    <w:rsid w:val="00743E0D"/>
    <w:rsid w:val="0075727B"/>
    <w:rsid w:val="00757FCF"/>
    <w:rsid w:val="00771726"/>
    <w:rsid w:val="007769DE"/>
    <w:rsid w:val="0077768F"/>
    <w:rsid w:val="00780890"/>
    <w:rsid w:val="00781499"/>
    <w:rsid w:val="00781733"/>
    <w:rsid w:val="007865EF"/>
    <w:rsid w:val="00796022"/>
    <w:rsid w:val="007A1887"/>
    <w:rsid w:val="007A197A"/>
    <w:rsid w:val="007A5C06"/>
    <w:rsid w:val="007B1D3B"/>
    <w:rsid w:val="007B6688"/>
    <w:rsid w:val="007C2835"/>
    <w:rsid w:val="007C43B1"/>
    <w:rsid w:val="007C54C0"/>
    <w:rsid w:val="007D4166"/>
    <w:rsid w:val="007D45B1"/>
    <w:rsid w:val="007D5065"/>
    <w:rsid w:val="007F1B37"/>
    <w:rsid w:val="0080433D"/>
    <w:rsid w:val="008068E3"/>
    <w:rsid w:val="008111BB"/>
    <w:rsid w:val="008120CA"/>
    <w:rsid w:val="00814E9F"/>
    <w:rsid w:val="008151B6"/>
    <w:rsid w:val="00816455"/>
    <w:rsid w:val="008225B0"/>
    <w:rsid w:val="00823D4C"/>
    <w:rsid w:val="00824D61"/>
    <w:rsid w:val="0083537E"/>
    <w:rsid w:val="00841DD6"/>
    <w:rsid w:val="008425A2"/>
    <w:rsid w:val="008458A4"/>
    <w:rsid w:val="008458EF"/>
    <w:rsid w:val="008544CB"/>
    <w:rsid w:val="008565E2"/>
    <w:rsid w:val="00862123"/>
    <w:rsid w:val="00866FF9"/>
    <w:rsid w:val="00870386"/>
    <w:rsid w:val="00876830"/>
    <w:rsid w:val="00881444"/>
    <w:rsid w:val="0088630C"/>
    <w:rsid w:val="00894084"/>
    <w:rsid w:val="008953F4"/>
    <w:rsid w:val="0089549C"/>
    <w:rsid w:val="008A0BB4"/>
    <w:rsid w:val="008A1A21"/>
    <w:rsid w:val="008B1D62"/>
    <w:rsid w:val="008B2BE7"/>
    <w:rsid w:val="008B5659"/>
    <w:rsid w:val="008B56BC"/>
    <w:rsid w:val="008B6663"/>
    <w:rsid w:val="008B7B80"/>
    <w:rsid w:val="008B7DDC"/>
    <w:rsid w:val="008C3433"/>
    <w:rsid w:val="00901064"/>
    <w:rsid w:val="00902A7F"/>
    <w:rsid w:val="009039D5"/>
    <w:rsid w:val="00912B74"/>
    <w:rsid w:val="00913F14"/>
    <w:rsid w:val="00923A56"/>
    <w:rsid w:val="00935F65"/>
    <w:rsid w:val="00943742"/>
    <w:rsid w:val="009465E1"/>
    <w:rsid w:val="00955124"/>
    <w:rsid w:val="00957EB7"/>
    <w:rsid w:val="00964BF2"/>
    <w:rsid w:val="0097481F"/>
    <w:rsid w:val="00982C52"/>
    <w:rsid w:val="009833E3"/>
    <w:rsid w:val="00983EFE"/>
    <w:rsid w:val="00986017"/>
    <w:rsid w:val="0099225C"/>
    <w:rsid w:val="00994AEB"/>
    <w:rsid w:val="009A35C2"/>
    <w:rsid w:val="009B3174"/>
    <w:rsid w:val="009B5F02"/>
    <w:rsid w:val="009C3A87"/>
    <w:rsid w:val="009D22C7"/>
    <w:rsid w:val="009D4ADF"/>
    <w:rsid w:val="009D59FB"/>
    <w:rsid w:val="009D79EF"/>
    <w:rsid w:val="009F487A"/>
    <w:rsid w:val="009F58C3"/>
    <w:rsid w:val="00A01207"/>
    <w:rsid w:val="00A045E3"/>
    <w:rsid w:val="00A13538"/>
    <w:rsid w:val="00A217C7"/>
    <w:rsid w:val="00A244A4"/>
    <w:rsid w:val="00A25360"/>
    <w:rsid w:val="00A30A14"/>
    <w:rsid w:val="00A337FF"/>
    <w:rsid w:val="00A36CBF"/>
    <w:rsid w:val="00A42BB5"/>
    <w:rsid w:val="00A43CEB"/>
    <w:rsid w:val="00A51E48"/>
    <w:rsid w:val="00A53DE1"/>
    <w:rsid w:val="00A72915"/>
    <w:rsid w:val="00A77F2E"/>
    <w:rsid w:val="00A806FA"/>
    <w:rsid w:val="00A85F91"/>
    <w:rsid w:val="00A87EF3"/>
    <w:rsid w:val="00A937E2"/>
    <w:rsid w:val="00A93A40"/>
    <w:rsid w:val="00AA3755"/>
    <w:rsid w:val="00AB35A2"/>
    <w:rsid w:val="00AB41D8"/>
    <w:rsid w:val="00AB5BC8"/>
    <w:rsid w:val="00AB6178"/>
    <w:rsid w:val="00AD5CD8"/>
    <w:rsid w:val="00AD7242"/>
    <w:rsid w:val="00AD73B9"/>
    <w:rsid w:val="00AE1BDA"/>
    <w:rsid w:val="00AE383D"/>
    <w:rsid w:val="00AF43B0"/>
    <w:rsid w:val="00B07FA4"/>
    <w:rsid w:val="00B1034C"/>
    <w:rsid w:val="00B13346"/>
    <w:rsid w:val="00B21CE5"/>
    <w:rsid w:val="00B25688"/>
    <w:rsid w:val="00B314D4"/>
    <w:rsid w:val="00B333F4"/>
    <w:rsid w:val="00B36F60"/>
    <w:rsid w:val="00B516DA"/>
    <w:rsid w:val="00B57BDF"/>
    <w:rsid w:val="00B630D4"/>
    <w:rsid w:val="00B7089B"/>
    <w:rsid w:val="00B70A9C"/>
    <w:rsid w:val="00B9220D"/>
    <w:rsid w:val="00B93756"/>
    <w:rsid w:val="00B952C6"/>
    <w:rsid w:val="00BA1DF7"/>
    <w:rsid w:val="00BA300C"/>
    <w:rsid w:val="00BA585F"/>
    <w:rsid w:val="00BB462E"/>
    <w:rsid w:val="00BB61C2"/>
    <w:rsid w:val="00BC7B25"/>
    <w:rsid w:val="00BD1E45"/>
    <w:rsid w:val="00BD538B"/>
    <w:rsid w:val="00BD53F0"/>
    <w:rsid w:val="00BD7A95"/>
    <w:rsid w:val="00BE39FB"/>
    <w:rsid w:val="00BE4D2C"/>
    <w:rsid w:val="00BF4CF8"/>
    <w:rsid w:val="00C028D2"/>
    <w:rsid w:val="00C0651E"/>
    <w:rsid w:val="00C1670C"/>
    <w:rsid w:val="00C208D2"/>
    <w:rsid w:val="00C22E29"/>
    <w:rsid w:val="00C23AE2"/>
    <w:rsid w:val="00C277BC"/>
    <w:rsid w:val="00C35611"/>
    <w:rsid w:val="00C4458C"/>
    <w:rsid w:val="00C532C2"/>
    <w:rsid w:val="00C66609"/>
    <w:rsid w:val="00C66EE1"/>
    <w:rsid w:val="00C67B25"/>
    <w:rsid w:val="00C67DCB"/>
    <w:rsid w:val="00C7208E"/>
    <w:rsid w:val="00C86748"/>
    <w:rsid w:val="00C909AF"/>
    <w:rsid w:val="00C9278C"/>
    <w:rsid w:val="00C934C3"/>
    <w:rsid w:val="00CA1B58"/>
    <w:rsid w:val="00CA6F9B"/>
    <w:rsid w:val="00CB173F"/>
    <w:rsid w:val="00CB1B90"/>
    <w:rsid w:val="00CB2A87"/>
    <w:rsid w:val="00CB7203"/>
    <w:rsid w:val="00CB7610"/>
    <w:rsid w:val="00CC2E6F"/>
    <w:rsid w:val="00CC369F"/>
    <w:rsid w:val="00CC4DF3"/>
    <w:rsid w:val="00CD2ADB"/>
    <w:rsid w:val="00CD3802"/>
    <w:rsid w:val="00CE0A2D"/>
    <w:rsid w:val="00D04F33"/>
    <w:rsid w:val="00D050AB"/>
    <w:rsid w:val="00D17326"/>
    <w:rsid w:val="00D24AB2"/>
    <w:rsid w:val="00D253C1"/>
    <w:rsid w:val="00D41292"/>
    <w:rsid w:val="00D532AF"/>
    <w:rsid w:val="00D54ABB"/>
    <w:rsid w:val="00D63DC9"/>
    <w:rsid w:val="00D6572A"/>
    <w:rsid w:val="00D66638"/>
    <w:rsid w:val="00D725D7"/>
    <w:rsid w:val="00D807F5"/>
    <w:rsid w:val="00D975BD"/>
    <w:rsid w:val="00DA2B14"/>
    <w:rsid w:val="00DA3AE5"/>
    <w:rsid w:val="00DA7C89"/>
    <w:rsid w:val="00DC0DF4"/>
    <w:rsid w:val="00DC498E"/>
    <w:rsid w:val="00DD10E5"/>
    <w:rsid w:val="00DD438A"/>
    <w:rsid w:val="00DE62EC"/>
    <w:rsid w:val="00DF0E51"/>
    <w:rsid w:val="00DF0EEB"/>
    <w:rsid w:val="00DF0F8F"/>
    <w:rsid w:val="00DF556E"/>
    <w:rsid w:val="00E00272"/>
    <w:rsid w:val="00E02898"/>
    <w:rsid w:val="00E06301"/>
    <w:rsid w:val="00E07592"/>
    <w:rsid w:val="00E272A1"/>
    <w:rsid w:val="00E44E16"/>
    <w:rsid w:val="00E50167"/>
    <w:rsid w:val="00E54F95"/>
    <w:rsid w:val="00E57DB9"/>
    <w:rsid w:val="00E673BC"/>
    <w:rsid w:val="00E71B71"/>
    <w:rsid w:val="00E73CB8"/>
    <w:rsid w:val="00E73FC1"/>
    <w:rsid w:val="00E75E47"/>
    <w:rsid w:val="00E8019E"/>
    <w:rsid w:val="00E84920"/>
    <w:rsid w:val="00E862E1"/>
    <w:rsid w:val="00E92571"/>
    <w:rsid w:val="00E956DD"/>
    <w:rsid w:val="00EA185B"/>
    <w:rsid w:val="00EB1E95"/>
    <w:rsid w:val="00EB280A"/>
    <w:rsid w:val="00EB4C4A"/>
    <w:rsid w:val="00EC2184"/>
    <w:rsid w:val="00EC58E1"/>
    <w:rsid w:val="00ED463A"/>
    <w:rsid w:val="00EE2417"/>
    <w:rsid w:val="00EE6313"/>
    <w:rsid w:val="00EE666E"/>
    <w:rsid w:val="00EE6AE6"/>
    <w:rsid w:val="00EE7854"/>
    <w:rsid w:val="00EF4F89"/>
    <w:rsid w:val="00F04F8F"/>
    <w:rsid w:val="00F06C94"/>
    <w:rsid w:val="00F06CF2"/>
    <w:rsid w:val="00F20EE0"/>
    <w:rsid w:val="00F24746"/>
    <w:rsid w:val="00F27A2B"/>
    <w:rsid w:val="00F32933"/>
    <w:rsid w:val="00F36938"/>
    <w:rsid w:val="00F50F2D"/>
    <w:rsid w:val="00F540D3"/>
    <w:rsid w:val="00F540EC"/>
    <w:rsid w:val="00F544F4"/>
    <w:rsid w:val="00F55A68"/>
    <w:rsid w:val="00F56179"/>
    <w:rsid w:val="00F57D1D"/>
    <w:rsid w:val="00F609D5"/>
    <w:rsid w:val="00F621E5"/>
    <w:rsid w:val="00F731EE"/>
    <w:rsid w:val="00F90EBB"/>
    <w:rsid w:val="00F924F7"/>
    <w:rsid w:val="00F95732"/>
    <w:rsid w:val="00F96FA7"/>
    <w:rsid w:val="00FA3A06"/>
    <w:rsid w:val="00FA3DC8"/>
    <w:rsid w:val="00FA6D04"/>
    <w:rsid w:val="00FB2473"/>
    <w:rsid w:val="00FB2E05"/>
    <w:rsid w:val="00FB5FC1"/>
    <w:rsid w:val="00FC2179"/>
    <w:rsid w:val="00FC48DF"/>
    <w:rsid w:val="00FC724B"/>
    <w:rsid w:val="00FD686A"/>
    <w:rsid w:val="00FE0D37"/>
    <w:rsid w:val="00FE5BD3"/>
    <w:rsid w:val="00FF1B1E"/>
    <w:rsid w:val="00FF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04BD"/>
  <w15:chartTrackingRefBased/>
  <w15:docId w15:val="{AC4FC0F1-1599-4A6B-A853-97B18A9A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4084"/>
    <w:rPr>
      <w:color w:val="0000FF"/>
      <w:u w:val="single"/>
    </w:rPr>
  </w:style>
  <w:style w:type="paragraph" w:styleId="NoSpacing">
    <w:name w:val="No Spacing"/>
    <w:uiPriority w:val="1"/>
    <w:qFormat/>
    <w:rsid w:val="00894084"/>
    <w:pPr>
      <w:spacing w:after="0" w:line="240" w:lineRule="auto"/>
    </w:pPr>
  </w:style>
  <w:style w:type="paragraph" w:styleId="Header">
    <w:name w:val="header"/>
    <w:basedOn w:val="Normal"/>
    <w:link w:val="HeaderChar"/>
    <w:uiPriority w:val="99"/>
    <w:unhideWhenUsed/>
    <w:rsid w:val="008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84"/>
  </w:style>
  <w:style w:type="paragraph" w:styleId="Footer">
    <w:name w:val="footer"/>
    <w:basedOn w:val="Normal"/>
    <w:link w:val="FooterChar"/>
    <w:uiPriority w:val="99"/>
    <w:unhideWhenUsed/>
    <w:rsid w:val="008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84"/>
  </w:style>
  <w:style w:type="paragraph" w:customStyle="1" w:styleId="Text">
    <w:name w:val="Text"/>
    <w:basedOn w:val="BodyText"/>
    <w:link w:val="TextChar"/>
    <w:qFormat/>
    <w:rsid w:val="0018674C"/>
    <w:pPr>
      <w:spacing w:line="240" w:lineRule="auto"/>
    </w:pPr>
    <w:rPr>
      <w:rFonts w:ascii="Arial" w:eastAsia="MS Mincho" w:hAnsi="Arial" w:cs="Arial"/>
      <w:sz w:val="20"/>
      <w:szCs w:val="20"/>
    </w:rPr>
  </w:style>
  <w:style w:type="character" w:customStyle="1" w:styleId="TextChar">
    <w:name w:val="Text Char"/>
    <w:link w:val="Text"/>
    <w:rsid w:val="0018674C"/>
    <w:rPr>
      <w:rFonts w:ascii="Arial" w:eastAsia="MS Mincho" w:hAnsi="Arial" w:cs="Arial"/>
      <w:sz w:val="20"/>
      <w:szCs w:val="20"/>
    </w:rPr>
  </w:style>
  <w:style w:type="paragraph" w:customStyle="1" w:styleId="Heading">
    <w:name w:val="Heading"/>
    <w:basedOn w:val="BodyText"/>
    <w:link w:val="HeadingChar"/>
    <w:autoRedefine/>
    <w:qFormat/>
    <w:rsid w:val="0018674C"/>
    <w:pPr>
      <w:spacing w:line="240" w:lineRule="auto"/>
    </w:pPr>
    <w:rPr>
      <w:rFonts w:ascii="Arial" w:eastAsia="MS Mincho" w:hAnsi="Arial" w:cs="Times New Roman"/>
      <w:sz w:val="20"/>
      <w:szCs w:val="20"/>
    </w:rPr>
  </w:style>
  <w:style w:type="character" w:customStyle="1" w:styleId="HeadingChar">
    <w:name w:val="Heading Char"/>
    <w:link w:val="Heading"/>
    <w:rsid w:val="0018674C"/>
    <w:rPr>
      <w:rFonts w:ascii="Arial" w:eastAsia="MS Mincho" w:hAnsi="Arial" w:cs="Times New Roman"/>
      <w:sz w:val="20"/>
      <w:szCs w:val="20"/>
    </w:rPr>
  </w:style>
  <w:style w:type="paragraph" w:customStyle="1" w:styleId="TableHeading">
    <w:name w:val="TableHeading"/>
    <w:basedOn w:val="Text"/>
    <w:link w:val="TableHeadingChar"/>
    <w:qFormat/>
    <w:rsid w:val="0018674C"/>
    <w:pPr>
      <w:jc w:val="center"/>
    </w:pPr>
    <w:rPr>
      <w:b/>
      <w:color w:val="FFFFFF"/>
    </w:rPr>
  </w:style>
  <w:style w:type="character" w:customStyle="1" w:styleId="TableHeadingChar">
    <w:name w:val="TableHeading Char"/>
    <w:link w:val="TableHeading"/>
    <w:rsid w:val="0018674C"/>
    <w:rPr>
      <w:rFonts w:ascii="Arial" w:eastAsia="MS Mincho" w:hAnsi="Arial" w:cs="Arial"/>
      <w:b/>
      <w:color w:val="FFFFFF"/>
      <w:sz w:val="20"/>
      <w:szCs w:val="20"/>
    </w:rPr>
  </w:style>
  <w:style w:type="paragraph" w:styleId="BodyText">
    <w:name w:val="Body Text"/>
    <w:basedOn w:val="Normal"/>
    <w:link w:val="BodyTextChar"/>
    <w:uiPriority w:val="99"/>
    <w:semiHidden/>
    <w:unhideWhenUsed/>
    <w:rsid w:val="0018674C"/>
    <w:pPr>
      <w:spacing w:after="120"/>
    </w:pPr>
  </w:style>
  <w:style w:type="character" w:customStyle="1" w:styleId="BodyTextChar">
    <w:name w:val="Body Text Char"/>
    <w:basedOn w:val="DefaultParagraphFont"/>
    <w:link w:val="BodyText"/>
    <w:uiPriority w:val="99"/>
    <w:semiHidden/>
    <w:rsid w:val="0018674C"/>
  </w:style>
  <w:style w:type="character" w:styleId="FollowedHyperlink">
    <w:name w:val="FollowedHyperlink"/>
    <w:basedOn w:val="DefaultParagraphFont"/>
    <w:uiPriority w:val="99"/>
    <w:semiHidden/>
    <w:unhideWhenUsed/>
    <w:rsid w:val="00160072"/>
    <w:rPr>
      <w:color w:val="954F72" w:themeColor="followedHyperlink"/>
      <w:u w:val="single"/>
    </w:rPr>
  </w:style>
  <w:style w:type="paragraph" w:styleId="BalloonText">
    <w:name w:val="Balloon Text"/>
    <w:basedOn w:val="Normal"/>
    <w:link w:val="BalloonTextChar"/>
    <w:uiPriority w:val="99"/>
    <w:semiHidden/>
    <w:unhideWhenUsed/>
    <w:rsid w:val="00640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4C"/>
    <w:rPr>
      <w:rFonts w:ascii="Segoe UI" w:hAnsi="Segoe UI" w:cs="Segoe UI"/>
      <w:sz w:val="18"/>
      <w:szCs w:val="18"/>
    </w:rPr>
  </w:style>
  <w:style w:type="table" w:styleId="TableGrid">
    <w:name w:val="Table Grid"/>
    <w:basedOn w:val="TableNormal"/>
    <w:uiPriority w:val="39"/>
    <w:rsid w:val="00A2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44D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0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A048EDC6FED0A47B93269058A158276" ma:contentTypeVersion="0" ma:contentTypeDescription="Create a new document." ma:contentTypeScope="" ma:versionID="e69eb0e2d03d1ac2be35ca24d1c6d5e0">
  <xsd:schema xmlns:xsd="http://www.w3.org/2001/XMLSchema" xmlns:xs="http://www.w3.org/2001/XMLSchema" xmlns:p="http://schemas.microsoft.com/office/2006/metadata/properties" xmlns:ns2="619a4b0a-83ce-4a75-a84b-3bcb13a3521a" targetNamespace="http://schemas.microsoft.com/office/2006/metadata/properties" ma:root="true" ma:fieldsID="43106dbf21cbde3cbbaa4c7f99de63bc" ns2:_="">
    <xsd:import namespace="619a4b0a-83ce-4a75-a84b-3bcb13a352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a4b0a-83ce-4a75-a84b-3bcb13a352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AD941-C7C3-49C1-BAF4-912EF7AA1585}">
  <ds:schemaRefs>
    <ds:schemaRef ds:uri="http://schemas.microsoft.com/sharepoint/v3/contenttype/forms"/>
  </ds:schemaRefs>
</ds:datastoreItem>
</file>

<file path=customXml/itemProps2.xml><?xml version="1.0" encoding="utf-8"?>
<ds:datastoreItem xmlns:ds="http://schemas.openxmlformats.org/officeDocument/2006/customXml" ds:itemID="{6E34E87B-5891-487D-8120-59EC90F01237}">
  <ds:schemaRefs>
    <ds:schemaRef ds:uri="http://schemas.microsoft.com/sharepoint/events"/>
  </ds:schemaRefs>
</ds:datastoreItem>
</file>

<file path=customXml/itemProps3.xml><?xml version="1.0" encoding="utf-8"?>
<ds:datastoreItem xmlns:ds="http://schemas.openxmlformats.org/officeDocument/2006/customXml" ds:itemID="{D7E751CD-5B87-4730-8C49-2A773744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a4b0a-83ce-4a75-a84b-3bcb13a3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3851B-26E2-4F3F-A99B-E0B94468E38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19a4b0a-83ce-4a75-a84b-3bcb13a352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Malone</dc:creator>
  <cp:keywords/>
  <dc:description/>
  <cp:lastModifiedBy>Beverley Collins</cp:lastModifiedBy>
  <cp:revision>2</cp:revision>
  <cp:lastPrinted>2019-03-22T11:55:00Z</cp:lastPrinted>
  <dcterms:created xsi:type="dcterms:W3CDTF">2023-02-08T11:57:00Z</dcterms:created>
  <dcterms:modified xsi:type="dcterms:W3CDTF">2023-02-08T11:57:00Z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0x010100BA048EDC6FED0A47B93269058A158276</vt:lpwstr>
  </property>
</Properties>
</file>